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B681" w14:textId="77777777" w:rsidR="00973ECA" w:rsidRDefault="00000000">
      <w:pPr>
        <w:spacing w:after="10" w:line="259" w:lineRule="auto"/>
        <w:ind w:left="-682" w:firstLine="0"/>
      </w:pPr>
      <w:r>
        <w:rPr>
          <w:noProof/>
        </w:rPr>
        <w:drawing>
          <wp:inline distT="0" distB="0" distL="0" distR="0" wp14:anchorId="654B22A8" wp14:editId="0E7D7D59">
            <wp:extent cx="1606954" cy="449421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6954" cy="44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56B45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4451325F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7A064D76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5ED697BC" w14:textId="77777777" w:rsidR="00973ECA" w:rsidRDefault="00000000">
      <w:pPr>
        <w:ind w:left="-5"/>
      </w:pPr>
      <w:r>
        <w:t>Norges jeger- og fiskerforbund</w:t>
      </w:r>
      <w:r>
        <w:rPr>
          <w:b/>
        </w:rPr>
        <w:t xml:space="preserve"> </w:t>
      </w:r>
    </w:p>
    <w:p w14:paraId="1DEE80B7" w14:textId="4E3F1AD5" w:rsidR="00973ECA" w:rsidRDefault="00973ECA">
      <w:pPr>
        <w:spacing w:after="991" w:line="259" w:lineRule="auto"/>
        <w:ind w:left="0" w:firstLine="0"/>
      </w:pPr>
    </w:p>
    <w:tbl>
      <w:tblPr>
        <w:tblStyle w:val="TableGrid"/>
        <w:tblW w:w="41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1230"/>
      </w:tblGrid>
      <w:tr w:rsidR="00973ECA" w14:paraId="7B4AA36E" w14:textId="77777777">
        <w:trPr>
          <w:trHeight w:val="433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61CCB1A3" w14:textId="77777777" w:rsidR="00973ECA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4C7AD29" w14:textId="77777777" w:rsidR="00973ECA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973ECA" w14:paraId="5D4FBB3F" w14:textId="77777777">
        <w:trPr>
          <w:trHeight w:val="693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CB33C" w14:textId="77777777" w:rsidR="00973ECA" w:rsidRDefault="00000000">
            <w:pPr>
              <w:spacing w:after="50" w:line="259" w:lineRule="auto"/>
              <w:ind w:left="0" w:firstLine="0"/>
            </w:pPr>
            <w:r>
              <w:rPr>
                <w:sz w:val="16"/>
              </w:rPr>
              <w:t xml:space="preserve">Deres referanse: </w:t>
            </w:r>
          </w:p>
          <w:p w14:paraId="5A2503CD" w14:textId="77777777" w:rsidR="00973ECA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FA4D1" w14:textId="77777777" w:rsidR="00973ECA" w:rsidRDefault="00000000">
            <w:pPr>
              <w:spacing w:after="5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Vår referanse: </w:t>
            </w:r>
          </w:p>
          <w:p w14:paraId="4832BB7E" w14:textId="77777777" w:rsidR="00973ECA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23/9295 - 161 </w:t>
            </w:r>
          </w:p>
        </w:tc>
      </w:tr>
    </w:tbl>
    <w:p w14:paraId="56CF3DFF" w14:textId="77777777" w:rsidR="00973ECA" w:rsidRDefault="00000000">
      <w:pPr>
        <w:spacing w:after="0" w:line="259" w:lineRule="auto"/>
        <w:ind w:left="0" w:firstLine="0"/>
      </w:pPr>
      <w:r>
        <w:rPr>
          <w:b/>
          <w:sz w:val="30"/>
        </w:rPr>
        <w:t xml:space="preserve"> </w:t>
      </w:r>
    </w:p>
    <w:p w14:paraId="678A3EDE" w14:textId="77777777" w:rsidR="00973ECA" w:rsidRDefault="00000000">
      <w:pPr>
        <w:spacing w:after="1782" w:line="259" w:lineRule="auto"/>
        <w:ind w:left="0" w:firstLine="0"/>
      </w:pPr>
      <w:r>
        <w:rPr>
          <w:sz w:val="16"/>
        </w:rPr>
        <w:t xml:space="preserve"> </w:t>
      </w:r>
    </w:p>
    <w:p w14:paraId="3D9AC5AE" w14:textId="77777777" w:rsidR="00973ECA" w:rsidRDefault="00000000">
      <w:pPr>
        <w:spacing w:after="49" w:line="261" w:lineRule="auto"/>
        <w:ind w:left="-5"/>
      </w:pPr>
      <w:r>
        <w:rPr>
          <w:sz w:val="16"/>
        </w:rPr>
        <w:t xml:space="preserve">Unntatt offentlighet </w:t>
      </w:r>
    </w:p>
    <w:p w14:paraId="759E87CA" w14:textId="77777777" w:rsidR="00973ECA" w:rsidRDefault="00000000">
      <w:pPr>
        <w:spacing w:after="239" w:line="261" w:lineRule="auto"/>
        <w:ind w:left="-5"/>
      </w:pPr>
      <w:proofErr w:type="spellStart"/>
      <w:r>
        <w:rPr>
          <w:sz w:val="16"/>
        </w:rPr>
        <w:t>Offl</w:t>
      </w:r>
      <w:proofErr w:type="spellEnd"/>
      <w:r>
        <w:rPr>
          <w:sz w:val="16"/>
        </w:rPr>
        <w:t xml:space="preserve">. § 13 1. ledd, jf. </w:t>
      </w:r>
      <w:proofErr w:type="spellStart"/>
      <w:r>
        <w:rPr>
          <w:sz w:val="16"/>
        </w:rPr>
        <w:t>fvl</w:t>
      </w:r>
      <w:proofErr w:type="spellEnd"/>
      <w:r>
        <w:rPr>
          <w:sz w:val="16"/>
        </w:rPr>
        <w:t xml:space="preserve">. § 13 1. ledd nr. 1 </w:t>
      </w:r>
    </w:p>
    <w:p w14:paraId="5DCC3995" w14:textId="77777777" w:rsidR="00973ECA" w:rsidRDefault="00000000">
      <w:pPr>
        <w:spacing w:after="49" w:line="261" w:lineRule="auto"/>
        <w:ind w:left="-5"/>
      </w:pPr>
      <w:r>
        <w:rPr>
          <w:sz w:val="16"/>
        </w:rPr>
        <w:t xml:space="preserve">Sted, dato: </w:t>
      </w:r>
    </w:p>
    <w:p w14:paraId="7EC9E3DD" w14:textId="77777777" w:rsidR="00973ECA" w:rsidRDefault="00000000">
      <w:pPr>
        <w:spacing w:after="49" w:line="261" w:lineRule="auto"/>
        <w:ind w:left="-5"/>
      </w:pPr>
      <w:r>
        <w:rPr>
          <w:sz w:val="16"/>
        </w:rPr>
        <w:t xml:space="preserve">Oslo,  29.10.2023 </w:t>
      </w:r>
    </w:p>
    <w:p w14:paraId="22379437" w14:textId="77777777" w:rsidR="00973ECA" w:rsidRDefault="00973ECA">
      <w:pPr>
        <w:sectPr w:rsidR="00973ECA">
          <w:pgSz w:w="11906" w:h="16838"/>
          <w:pgMar w:top="747" w:right="1527" w:bottom="1440" w:left="1417" w:header="708" w:footer="708" w:gutter="0"/>
          <w:cols w:num="2" w:space="708" w:equalWidth="0">
            <w:col w:w="3149" w:space="2345"/>
            <w:col w:w="3468"/>
          </w:cols>
        </w:sectPr>
      </w:pPr>
    </w:p>
    <w:p w14:paraId="493DD06E" w14:textId="77777777" w:rsidR="00973ECA" w:rsidRDefault="00000000">
      <w:pPr>
        <w:pStyle w:val="Overskrift1"/>
      </w:pPr>
      <w:r>
        <w:t xml:space="preserve">Alarmkrav for oppbevaring av våpen   </w:t>
      </w:r>
    </w:p>
    <w:p w14:paraId="6371EC9E" w14:textId="77777777" w:rsidR="00973ECA" w:rsidRDefault="00000000">
      <w:pPr>
        <w:ind w:left="-5"/>
      </w:pPr>
      <w:r>
        <w:t xml:space="preserve">Det vises til henvendelse datert 4. oktober 2023 fra Norges Jeger- og Fiskerforbund (NJFF) om forståelsen av kravet til FG-godkjent alarm for juridiske personer.   </w:t>
      </w:r>
    </w:p>
    <w:p w14:paraId="248F4F61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28E4F7E2" w14:textId="77777777" w:rsidR="00973ECA" w:rsidRDefault="00000000">
      <w:pPr>
        <w:ind w:left="-5"/>
      </w:pPr>
      <w:r>
        <w:t xml:space="preserve">Kravet til oppbevaring er hjemlet i våpenlova § 19, hvor det er i fjerde ledd nr. 6 er gitt hjemmel til å forskriftsfeste særskilte krav til oppbevaring for andre juridiske personer enn næringsdrivende. Kravene </w:t>
      </w:r>
      <w:proofErr w:type="gramStart"/>
      <w:r>
        <w:t>fremkommer</w:t>
      </w:r>
      <w:proofErr w:type="gramEnd"/>
      <w:r>
        <w:t xml:space="preserve"> av våpenforskrifta §§ 6-1 og 6-4.  </w:t>
      </w:r>
    </w:p>
    <w:p w14:paraId="7306630E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5712F4A3" w14:textId="77777777" w:rsidR="00973ECA" w:rsidRDefault="00000000">
      <w:pPr>
        <w:ind w:left="-5"/>
      </w:pPr>
      <w:r>
        <w:t xml:space="preserve">Våpenforskrifta § 6-4 bestemmer at </w:t>
      </w:r>
    </w:p>
    <w:p w14:paraId="0D40086E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6C90170F" w14:textId="77777777" w:rsidR="00973ECA" w:rsidRDefault="00000000">
      <w:pPr>
        <w:spacing w:after="118" w:line="246" w:lineRule="auto"/>
        <w:ind w:left="505"/>
      </w:pPr>
      <w:r>
        <w:rPr>
          <w:sz w:val="18"/>
        </w:rPr>
        <w:t xml:space="preserve">"juridiske </w:t>
      </w:r>
      <w:proofErr w:type="spellStart"/>
      <w:r>
        <w:rPr>
          <w:sz w:val="18"/>
        </w:rPr>
        <w:t>personar</w:t>
      </w:r>
      <w:proofErr w:type="spellEnd"/>
      <w:r>
        <w:rPr>
          <w:sz w:val="18"/>
        </w:rPr>
        <w:t xml:space="preserve"> som har løyve til å ha skytevåpen, </w:t>
      </w:r>
      <w:proofErr w:type="spellStart"/>
      <w:r>
        <w:rPr>
          <w:sz w:val="18"/>
        </w:rPr>
        <w:t>våpendelar</w:t>
      </w:r>
      <w:proofErr w:type="spellEnd"/>
      <w:r>
        <w:rPr>
          <w:sz w:val="18"/>
        </w:rPr>
        <w:t xml:space="preserve"> eller ammunisjon i samband med næringsdrift skal oppbevare skytevåpen og ammunisjon i samsvar med krava som følgjer av § 6-1 første til tredje ledd og § 6-3". </w:t>
      </w:r>
    </w:p>
    <w:p w14:paraId="6ED19601" w14:textId="77777777" w:rsidR="00973ECA" w:rsidRDefault="00000000">
      <w:pPr>
        <w:spacing w:after="19" w:line="259" w:lineRule="auto"/>
        <w:ind w:left="0" w:firstLine="0"/>
      </w:pPr>
      <w:r>
        <w:rPr>
          <w:rFonts w:ascii="Yu Gothic UI" w:eastAsia="Yu Gothic UI" w:hAnsi="Yu Gothic UI" w:cs="Yu Gothic UI"/>
          <w:sz w:val="24"/>
        </w:rPr>
        <w:t xml:space="preserve"> </w:t>
      </w:r>
    </w:p>
    <w:p w14:paraId="7974926E" w14:textId="77777777" w:rsidR="00973ECA" w:rsidRDefault="00000000">
      <w:pPr>
        <w:ind w:left="-5"/>
      </w:pPr>
      <w:r>
        <w:t>Av § 6-1 tredje ledd fremgår det at</w:t>
      </w:r>
      <w:r>
        <w:rPr>
          <w:rFonts w:ascii="Yu Gothic UI" w:eastAsia="Yu Gothic UI" w:hAnsi="Yu Gothic UI" w:cs="Yu Gothic UI"/>
          <w:i/>
          <w:sz w:val="25"/>
        </w:rPr>
        <w:t xml:space="preserve"> </w:t>
      </w:r>
    </w:p>
    <w:p w14:paraId="08227FB9" w14:textId="77777777" w:rsidR="00973ECA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2E8A9621" w14:textId="77777777" w:rsidR="00973ECA" w:rsidRDefault="00000000">
      <w:pPr>
        <w:spacing w:after="25" w:line="246" w:lineRule="auto"/>
        <w:ind w:left="505"/>
      </w:pPr>
      <w:r>
        <w:rPr>
          <w:sz w:val="18"/>
        </w:rPr>
        <w:t xml:space="preserve">"Politiet kan </w:t>
      </w:r>
      <w:proofErr w:type="spellStart"/>
      <w:r>
        <w:rPr>
          <w:sz w:val="18"/>
        </w:rPr>
        <w:t>gje</w:t>
      </w:r>
      <w:proofErr w:type="spellEnd"/>
      <w:r>
        <w:rPr>
          <w:sz w:val="18"/>
        </w:rPr>
        <w:t xml:space="preserve"> fritak </w:t>
      </w:r>
      <w:proofErr w:type="spellStart"/>
      <w:r>
        <w:rPr>
          <w:sz w:val="18"/>
        </w:rPr>
        <w:t>frå</w:t>
      </w:r>
      <w:proofErr w:type="spellEnd"/>
      <w:r>
        <w:rPr>
          <w:sz w:val="18"/>
        </w:rPr>
        <w:t xml:space="preserve"> kravet om at </w:t>
      </w:r>
      <w:proofErr w:type="spellStart"/>
      <w:r>
        <w:rPr>
          <w:sz w:val="18"/>
        </w:rPr>
        <w:t>oppbevaringsstaden</w:t>
      </w:r>
      <w:proofErr w:type="spellEnd"/>
      <w:r>
        <w:rPr>
          <w:sz w:val="18"/>
        </w:rPr>
        <w:t xml:space="preserve"> skal </w:t>
      </w:r>
      <w:proofErr w:type="spellStart"/>
      <w:r>
        <w:rPr>
          <w:sz w:val="18"/>
        </w:rPr>
        <w:t>vere</w:t>
      </w:r>
      <w:proofErr w:type="spellEnd"/>
      <w:r>
        <w:rPr>
          <w:sz w:val="18"/>
        </w:rPr>
        <w:t xml:space="preserve"> bemanna eller </w:t>
      </w:r>
      <w:proofErr w:type="spellStart"/>
      <w:r>
        <w:rPr>
          <w:sz w:val="18"/>
        </w:rPr>
        <w:t>bebudd</w:t>
      </w:r>
      <w:proofErr w:type="spellEnd"/>
      <w:r>
        <w:rPr>
          <w:sz w:val="18"/>
        </w:rPr>
        <w:t xml:space="preserve"> når ytterdør til </w:t>
      </w:r>
      <w:proofErr w:type="spellStart"/>
      <w:r>
        <w:rPr>
          <w:sz w:val="18"/>
        </w:rPr>
        <w:t>oppbevaringsstaden</w:t>
      </w:r>
      <w:proofErr w:type="spellEnd"/>
      <w:r>
        <w:rPr>
          <w:sz w:val="18"/>
        </w:rPr>
        <w:t xml:space="preserve"> er trygga med FG-godkjent dør og lås, samt at </w:t>
      </w:r>
      <w:proofErr w:type="spellStart"/>
      <w:r>
        <w:rPr>
          <w:sz w:val="18"/>
        </w:rPr>
        <w:t>oppbevaringsstaden</w:t>
      </w:r>
      <w:proofErr w:type="spellEnd"/>
      <w:r>
        <w:rPr>
          <w:sz w:val="18"/>
        </w:rPr>
        <w:t xml:space="preserve"> er trygga med FG-godkjent alarm med overføring til døgnmanna alarmstasjon, som med eigne </w:t>
      </w:r>
      <w:proofErr w:type="spellStart"/>
      <w:r>
        <w:rPr>
          <w:sz w:val="18"/>
        </w:rPr>
        <w:t>vektarar</w:t>
      </w:r>
      <w:proofErr w:type="spellEnd"/>
      <w:r>
        <w:rPr>
          <w:sz w:val="18"/>
        </w:rPr>
        <w:t xml:space="preserve">, eller med avtale med </w:t>
      </w:r>
      <w:proofErr w:type="spellStart"/>
      <w:r>
        <w:rPr>
          <w:sz w:val="18"/>
        </w:rPr>
        <w:t>einskildpersonar</w:t>
      </w:r>
      <w:proofErr w:type="spellEnd"/>
      <w:r>
        <w:rPr>
          <w:sz w:val="18"/>
        </w:rPr>
        <w:t xml:space="preserve"> eller </w:t>
      </w:r>
      <w:proofErr w:type="spellStart"/>
      <w:r>
        <w:rPr>
          <w:sz w:val="18"/>
        </w:rPr>
        <w:t>føretak</w:t>
      </w:r>
      <w:proofErr w:type="spellEnd"/>
      <w:r>
        <w:rPr>
          <w:sz w:val="18"/>
        </w:rPr>
        <w:t xml:space="preserve">, kan rykke ut ved alarm. Politiet kan </w:t>
      </w:r>
      <w:proofErr w:type="spellStart"/>
      <w:r>
        <w:rPr>
          <w:sz w:val="18"/>
        </w:rPr>
        <w:t>gje</w:t>
      </w:r>
      <w:proofErr w:type="spellEnd"/>
      <w:r>
        <w:rPr>
          <w:sz w:val="18"/>
        </w:rPr>
        <w:t xml:space="preserve"> fritak </w:t>
      </w:r>
      <w:proofErr w:type="spellStart"/>
      <w:r>
        <w:rPr>
          <w:sz w:val="18"/>
        </w:rPr>
        <w:t>frå</w:t>
      </w:r>
      <w:proofErr w:type="spellEnd"/>
      <w:r>
        <w:rPr>
          <w:sz w:val="18"/>
        </w:rPr>
        <w:t xml:space="preserve"> kravet til FG-godkjent alarm i første punktum om </w:t>
      </w:r>
      <w:proofErr w:type="spellStart"/>
      <w:r>
        <w:rPr>
          <w:sz w:val="18"/>
        </w:rPr>
        <w:t>dei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stadlege</w:t>
      </w:r>
      <w:proofErr w:type="spellEnd"/>
      <w:r>
        <w:rPr>
          <w:sz w:val="18"/>
        </w:rPr>
        <w:t xml:space="preserve"> forholda </w:t>
      </w:r>
      <w:proofErr w:type="spellStart"/>
      <w:r>
        <w:rPr>
          <w:sz w:val="18"/>
        </w:rPr>
        <w:t>gjer</w:t>
      </w:r>
      <w:proofErr w:type="spellEnd"/>
      <w:r>
        <w:rPr>
          <w:sz w:val="18"/>
        </w:rPr>
        <w:t xml:space="preserve"> det uråd å </w:t>
      </w:r>
      <w:proofErr w:type="spellStart"/>
      <w:r>
        <w:rPr>
          <w:sz w:val="18"/>
        </w:rPr>
        <w:t>etterkome</w:t>
      </w:r>
      <w:proofErr w:type="spellEnd"/>
      <w:r>
        <w:rPr>
          <w:sz w:val="18"/>
        </w:rPr>
        <w:t xml:space="preserve"> kravet til </w:t>
      </w:r>
      <w:proofErr w:type="spellStart"/>
      <w:r>
        <w:rPr>
          <w:sz w:val="18"/>
        </w:rPr>
        <w:t>innbrotsalarm</w:t>
      </w:r>
      <w:proofErr w:type="spellEnd"/>
      <w:r>
        <w:rPr>
          <w:sz w:val="18"/>
        </w:rPr>
        <w:t xml:space="preserve">." </w:t>
      </w:r>
    </w:p>
    <w:p w14:paraId="15AE3320" w14:textId="77777777" w:rsidR="00973ECA" w:rsidRDefault="00000000">
      <w:pPr>
        <w:spacing w:after="23" w:line="259" w:lineRule="auto"/>
        <w:ind w:left="510" w:firstLine="0"/>
      </w:pPr>
      <w:r>
        <w:rPr>
          <w:rFonts w:ascii="Yu Gothic UI" w:eastAsia="Yu Gothic UI" w:hAnsi="Yu Gothic UI" w:cs="Yu Gothic UI"/>
          <w:sz w:val="18"/>
        </w:rPr>
        <w:t xml:space="preserve"> </w:t>
      </w:r>
    </w:p>
    <w:p w14:paraId="56EC22DF" w14:textId="77777777" w:rsidR="00973ECA" w:rsidRDefault="00000000">
      <w:pPr>
        <w:ind w:left="-5"/>
      </w:pPr>
      <w:r>
        <w:t xml:space="preserve">Reglene er videre utdypet i Politidirektoratets rundskriv RPOD-2022-8 pkt. 4.9:  </w:t>
      </w:r>
    </w:p>
    <w:p w14:paraId="3C02B375" w14:textId="77777777" w:rsidR="00973ECA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4EAB5F4D" w14:textId="77777777" w:rsidR="00973ECA" w:rsidRDefault="00000000">
      <w:pPr>
        <w:spacing w:after="25" w:line="246" w:lineRule="auto"/>
        <w:ind w:left="505"/>
      </w:pPr>
      <w:r>
        <w:rPr>
          <w:sz w:val="18"/>
        </w:rPr>
        <w:t xml:space="preserve">"Juridiske personer som innehar skytevåpen skal oppbevare skytevåpen, våpendeler i </w:t>
      </w:r>
      <w:proofErr w:type="spellStart"/>
      <w:r>
        <w:rPr>
          <w:sz w:val="18"/>
        </w:rPr>
        <w:t>FGgodkjent</w:t>
      </w:r>
      <w:proofErr w:type="spellEnd"/>
      <w:r>
        <w:rPr>
          <w:sz w:val="18"/>
        </w:rPr>
        <w:t xml:space="preserve"> våpenskap eller godkjent våpenrom. Ved oppbevaring av mer enn 25 løyvepliktige skytevåpen eller våpendeler på samme sted, skal oppbevaringssted sikres med FG-godkjent innbruddsalarm grad 3, jf. forskriftens § 6-4. Oppbevaringsstedet må være bemannet på dagtid på hverdager, eller være bebodd." </w:t>
      </w:r>
    </w:p>
    <w:p w14:paraId="1F73F7F9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3EFCCD9E" w14:textId="77777777" w:rsidR="00973ECA" w:rsidRDefault="00000000">
      <w:pPr>
        <w:pStyle w:val="Overskrift2"/>
        <w:ind w:left="-5"/>
      </w:pPr>
      <w:r>
        <w:t xml:space="preserve">NJFFs anførsler </w:t>
      </w:r>
    </w:p>
    <w:p w14:paraId="03690F27" w14:textId="77777777" w:rsidR="00973ECA" w:rsidRDefault="00000000">
      <w:pPr>
        <w:spacing w:after="36"/>
        <w:ind w:left="-5"/>
      </w:pPr>
      <w:r>
        <w:t xml:space="preserve">NJFF har anført at det </w:t>
      </w:r>
      <w:proofErr w:type="gramStart"/>
      <w:r>
        <w:t>fremkommer</w:t>
      </w:r>
      <w:proofErr w:type="gramEnd"/>
      <w:r>
        <w:t xml:space="preserve"> i forskriften om at det er krav om FG-godkjent alarm, og at det skal være utrykning enten med vekter, eller etter avtale med </w:t>
      </w:r>
    </w:p>
    <w:p w14:paraId="7076FC18" w14:textId="77777777" w:rsidR="00973ECA" w:rsidRDefault="00000000">
      <w:pPr>
        <w:spacing w:after="133" w:line="259" w:lineRule="auto"/>
        <w:ind w:left="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3E6B89" wp14:editId="18B06D6B">
                <wp:extent cx="5738400" cy="6350"/>
                <wp:effectExtent l="0" t="0" r="0" b="0"/>
                <wp:docPr id="1995" name="Group 1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00" cy="6350"/>
                          <a:chOff x="0" y="0"/>
                          <a:chExt cx="5738400" cy="635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7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8400">
                                <a:moveTo>
                                  <a:pt x="0" y="0"/>
                                </a:moveTo>
                                <a:lnTo>
                                  <a:pt x="57384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5" style="width:451.842pt;height:0.5pt;mso-position-horizontal-relative:char;mso-position-vertical-relative:line" coordsize="57384,63">
                <v:shape id="Shape 15" style="position:absolute;width:57384;height:0;left:0;top:0;" coordsize="5738400,0" path="m0,0l573840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B21603" w14:textId="77777777" w:rsidR="00973ECA" w:rsidRDefault="00000000">
      <w:pPr>
        <w:spacing w:after="49" w:line="261" w:lineRule="auto"/>
        <w:ind w:left="-5"/>
      </w:pPr>
      <w:r>
        <w:rPr>
          <w:sz w:val="16"/>
        </w:rPr>
        <w:t xml:space="preserve">POLITIDIREKTORATET </w:t>
      </w:r>
    </w:p>
    <w:p w14:paraId="0E033D25" w14:textId="77777777" w:rsidR="00973ECA" w:rsidRDefault="00000000">
      <w:pPr>
        <w:spacing w:after="49" w:line="320" w:lineRule="auto"/>
        <w:ind w:left="-5"/>
      </w:pPr>
      <w:r>
        <w:rPr>
          <w:sz w:val="16"/>
        </w:rPr>
        <w:t xml:space="preserve">Post: Postboks 2090 Vika, 0125 Oslo / Besøk: Fridtjof Nansens vei 14-16, 0369 Oslo / (+47) 23 36 41 00 </w:t>
      </w:r>
      <w:r>
        <w:rPr>
          <w:color w:val="0000FF"/>
          <w:sz w:val="16"/>
        </w:rPr>
        <w:t>politidirektoratet@politiet.no</w:t>
      </w:r>
      <w:r>
        <w:rPr>
          <w:sz w:val="16"/>
        </w:rPr>
        <w:t xml:space="preserve"> / </w:t>
      </w:r>
      <w:r>
        <w:rPr>
          <w:color w:val="0000FF"/>
          <w:sz w:val="16"/>
        </w:rPr>
        <w:t>www.politiet.no</w:t>
      </w:r>
      <w:r>
        <w:rPr>
          <w:sz w:val="16"/>
        </w:rPr>
        <w:t xml:space="preserve"> / Organisasjonsnummer: 982531950 </w:t>
      </w:r>
    </w:p>
    <w:p w14:paraId="2D4D75EE" w14:textId="77777777" w:rsidR="00973ECA" w:rsidRDefault="00000000">
      <w:pPr>
        <w:spacing w:after="213" w:line="259" w:lineRule="auto"/>
        <w:ind w:left="0" w:firstLine="0"/>
      </w:pPr>
      <w:r>
        <w:t xml:space="preserve"> </w:t>
      </w:r>
    </w:p>
    <w:p w14:paraId="0FB1FBDD" w14:textId="77777777" w:rsidR="00973ECA" w:rsidRDefault="00000000">
      <w:pPr>
        <w:ind w:left="-5"/>
      </w:pPr>
      <w:r>
        <w:lastRenderedPageBreak/>
        <w:t>enkeltpersoner/foretak ved utløst alarm. Denne formuleringen i forskriften samsvarer ikke med at politiet skal stilles krav om grad 3 alarm i hele bygget hvor våpen oppbevares. (eks. vil ikke utrykning etter avtale med enkeltpersoner være godkjent i verken grad 2 eller grad 3 løsninger). At det skal være en relativt høy terskel for å frafalle kravet om alarm, er for så vidt greit.</w:t>
      </w:r>
      <w:r>
        <w:rPr>
          <w:rFonts w:ascii="Calibri" w:eastAsia="Calibri" w:hAnsi="Calibri" w:cs="Calibri"/>
          <w:sz w:val="22"/>
        </w:rPr>
        <w:t xml:space="preserve"> </w:t>
      </w:r>
    </w:p>
    <w:p w14:paraId="3A17FCF1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454F711B" w14:textId="77777777" w:rsidR="00973ECA" w:rsidRDefault="00000000">
      <w:pPr>
        <w:ind w:left="-5"/>
      </w:pPr>
      <w:r>
        <w:t xml:space="preserve">Kravet til grad 3 er lagt inn i rundskriv 2022/008 – et rundskriv som ikke lenger ligger tilgjengelig på politiets nettsider (etter at det ble fjernet ifb. med justeringene knyttet til halvautomatiske jaktrifler). Politiet benytter altså et rundskriv som er vanskelig å forholde seg til for våpeneiere og foreninger, da det ikke er tilgjengelig (med mindre en har tilgang på lovdata pro el.) </w:t>
      </w:r>
    </w:p>
    <w:p w14:paraId="13B3048F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55C29D11" w14:textId="77777777" w:rsidR="00973ECA" w:rsidRDefault="00000000">
      <w:pPr>
        <w:ind w:left="-5"/>
      </w:pPr>
      <w:r>
        <w:t xml:space="preserve">En praksis hvor det kreves grad 3 alarm på hele bygget hvor våpen oppbevares, beløper seg ut </w:t>
      </w:r>
      <w:proofErr w:type="gramStart"/>
      <w:r>
        <w:t>i fra</w:t>
      </w:r>
      <w:proofErr w:type="gramEnd"/>
      <w:r>
        <w:t xml:space="preserve"> tilbud vi har sett fra alarmselskaper gjerne til sekssifrede beløp bare for innstallering, samt høye løpende kostnader. For foreninger som allerede har omfattende FG-godkjente alarmsystemer (som har blitt godkjent av politiet), vil krav om ombygging til grad 3 medføre store kostnader, da kravene er vesentlig forskjellig fra et ordinært </w:t>
      </w:r>
      <w:proofErr w:type="spellStart"/>
      <w:r>
        <w:t>FGgodkjent</w:t>
      </w:r>
      <w:proofErr w:type="spellEnd"/>
      <w:r>
        <w:t xml:space="preserve"> anlegg med vekterutrykning. Vi mener det ikke er grunnlag i forskriften for et absolutt krav om grad 3 alarm og at det skal stilles samme krav til en forening med et par hagler, som til en våpenforretning, men at FG-godkjent dør, lås og alarm med vekterutrykning (f.eks. næringsalarm grad 2), som hovedregel vil være tilstrekkelig og </w:t>
      </w:r>
      <w:proofErr w:type="spellStart"/>
      <w:r>
        <w:t>ihht</w:t>
      </w:r>
      <w:proofErr w:type="spellEnd"/>
      <w:r>
        <w:t xml:space="preserve">. forskriftskravet.  </w:t>
      </w:r>
    </w:p>
    <w:p w14:paraId="26107B15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614E894D" w14:textId="77777777" w:rsidR="00973ECA" w:rsidRDefault="00000000">
      <w:pPr>
        <w:ind w:left="-5"/>
      </w:pPr>
      <w:r>
        <w:t xml:space="preserve">At det ligger en mulighet i forskriften for politiet til å bruke skjønn, og f.eks. frafalle kravet til alarm, står i ganske sterk kontrast til kravet om grad 3 alarm som i enkelte distrikter anses som ufravikelig. </w:t>
      </w:r>
    </w:p>
    <w:p w14:paraId="1CF6436A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2E84F753" w14:textId="77777777" w:rsidR="00973ECA" w:rsidRDefault="00000000">
      <w:pPr>
        <w:pStyle w:val="Overskrift2"/>
        <w:ind w:left="-5"/>
      </w:pPr>
      <w:r>
        <w:t xml:space="preserve">Politidirektoratets vurdering </w:t>
      </w:r>
    </w:p>
    <w:p w14:paraId="3E10FF5F" w14:textId="77777777" w:rsidR="00973ECA" w:rsidRDefault="00000000">
      <w:pPr>
        <w:ind w:left="-5"/>
      </w:pPr>
      <w:r>
        <w:t xml:space="preserve">Politidirektoratet har gjennomgått de krav som </w:t>
      </w:r>
      <w:proofErr w:type="gramStart"/>
      <w:r>
        <w:t>fremkommer</w:t>
      </w:r>
      <w:proofErr w:type="gramEnd"/>
      <w:r>
        <w:t xml:space="preserve"> av lov og forskrift. Spørsmålet er om politiet har anledning til å kreve hvilken grad en FG-godkjent alarmen skal ha.  </w:t>
      </w:r>
    </w:p>
    <w:p w14:paraId="2D21BFA5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02C1F882" w14:textId="77777777" w:rsidR="00973ECA" w:rsidRDefault="00000000">
      <w:pPr>
        <w:ind w:left="-5"/>
      </w:pPr>
      <w:r>
        <w:t xml:space="preserve">Gammel våpenlov med tilhørende forskrift var preget av at materielle regler ble gitt i form av rundskriv. Dette var en praksis ny lov og forskrift skulle endre ved at de materielle reglene ble lagt i lov og forskrift, mens rundskriv skulle angi saksbehandlingsreglene. Den nye innretningen skulle sikre forutsigbarhet og likebehandling for søkerne.  </w:t>
      </w:r>
    </w:p>
    <w:p w14:paraId="6667455A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22DC7B65" w14:textId="77777777" w:rsidR="00973ECA" w:rsidRDefault="00000000">
      <w:pPr>
        <w:ind w:left="-5"/>
      </w:pPr>
      <w:r>
        <w:t xml:space="preserve">Ordlyden i rundskrivets § 4.9 stiller krav som går ut over det som </w:t>
      </w:r>
      <w:proofErr w:type="gramStart"/>
      <w:r>
        <w:t>fremkommer</w:t>
      </w:r>
      <w:proofErr w:type="gramEnd"/>
      <w:r>
        <w:t xml:space="preserve"> av lovtekst og forskriftstekst. Direktoratet kan ikke se at det er hjemmel til å kreve annet enn </w:t>
      </w:r>
      <w:r>
        <w:rPr>
          <w:i/>
        </w:rPr>
        <w:t xml:space="preserve">"FG-godkjent alarm med overføring til døgnmanna alarmstasjon". </w:t>
      </w:r>
      <w:r>
        <w:t xml:space="preserve">Forskriften oppstiller ikke noe krav om grad på alarmen, og det er heller ikke krav om at alarmstasjonen skal være FG-godkjent slik den må i grad 2 og 3.  </w:t>
      </w:r>
    </w:p>
    <w:p w14:paraId="7F76992B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03DF11C4" w14:textId="77777777" w:rsidR="00973ECA" w:rsidRDefault="00000000">
      <w:pPr>
        <w:pStyle w:val="Overskrift2"/>
        <w:ind w:left="-5"/>
      </w:pPr>
      <w:r>
        <w:t xml:space="preserve">Konklusjon </w:t>
      </w:r>
    </w:p>
    <w:p w14:paraId="1FB94B85" w14:textId="77777777" w:rsidR="00973ECA" w:rsidRDefault="00000000">
      <w:pPr>
        <w:ind w:left="-5"/>
      </w:pPr>
      <w:r>
        <w:t xml:space="preserve">Det er ikke anledning for politiet å kreve at FG-godkjent alarmanlegg hos juridiske personer som ikke har løyve til næringsvirksomhet skal ha høyere grad enn grad 1.  </w:t>
      </w:r>
    </w:p>
    <w:p w14:paraId="2292F374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7A925D36" w14:textId="77777777" w:rsidR="00973ECA" w:rsidRDefault="00000000">
      <w:pPr>
        <w:ind w:left="-5"/>
      </w:pPr>
      <w:r>
        <w:t xml:space="preserve">Vi gjør likevel oppmerksom på at etter FG-standarden er FG grad 1 kun tillatt bruk i boliger, og at FG grad 2 er laveste alarmgrad for bruk i offentlige virksomheter og næringsvirksomheter.  </w:t>
      </w:r>
    </w:p>
    <w:p w14:paraId="5C0EEA09" w14:textId="77777777" w:rsidR="00973ECA" w:rsidRDefault="00000000">
      <w:pPr>
        <w:spacing w:after="1076" w:line="259" w:lineRule="auto"/>
        <w:ind w:left="0" w:firstLine="0"/>
      </w:pPr>
      <w:r>
        <w:t xml:space="preserve"> </w:t>
      </w:r>
    </w:p>
    <w:p w14:paraId="43353A34" w14:textId="77777777" w:rsidR="00973ECA" w:rsidRDefault="00000000">
      <w:pPr>
        <w:spacing w:after="35" w:line="259" w:lineRule="auto"/>
        <w:ind w:right="-15"/>
        <w:jc w:val="right"/>
      </w:pPr>
      <w:r>
        <w:rPr>
          <w:sz w:val="16"/>
        </w:rPr>
        <w:t xml:space="preserve">2 </w:t>
      </w:r>
    </w:p>
    <w:p w14:paraId="6C06BC0C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59690C6C" w14:textId="77777777" w:rsidR="00973ECA" w:rsidRDefault="00000000">
      <w:pPr>
        <w:spacing w:after="213" w:line="259" w:lineRule="auto"/>
        <w:ind w:left="0" w:firstLine="0"/>
      </w:pPr>
      <w:r>
        <w:lastRenderedPageBreak/>
        <w:t xml:space="preserve"> </w:t>
      </w:r>
    </w:p>
    <w:p w14:paraId="2E0E7303" w14:textId="77777777" w:rsidR="00973ECA" w:rsidRDefault="00000000">
      <w:pPr>
        <w:ind w:left="-5"/>
      </w:pPr>
      <w:r>
        <w:t xml:space="preserve">Direktoratet vil endre utformingen av rundskrivet, og publisere nytt rundskriv på </w:t>
      </w:r>
      <w:hyperlink r:id="rId5">
        <w:r>
          <w:rPr>
            <w:color w:val="0070C0"/>
            <w:u w:val="single" w:color="0070C0"/>
          </w:rPr>
          <w:t>www.politiet.no</w:t>
        </w:r>
      </w:hyperlink>
      <w:r>
        <w:t xml:space="preserve">. Dagens versjon ligger nå på politiets nettsider under våpen/lover og regler om våpen/lover, forskrifter og regler.  </w:t>
      </w:r>
    </w:p>
    <w:p w14:paraId="7B5F0384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0716DF75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138752C4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497ED2B7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21668216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74994408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36D3D008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76E096BF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21042768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23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700"/>
      </w:tblGrid>
      <w:tr w:rsidR="00973ECA" w14:paraId="4DDF0DB8" w14:textId="77777777">
        <w:trPr>
          <w:trHeight w:val="49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7688ABC" w14:textId="77777777" w:rsidR="00973ECA" w:rsidRDefault="00000000">
            <w:pPr>
              <w:spacing w:after="0" w:line="259" w:lineRule="auto"/>
              <w:ind w:left="0" w:firstLine="0"/>
            </w:pPr>
            <w:r>
              <w:t xml:space="preserve">Med hilsen </w:t>
            </w:r>
          </w:p>
          <w:p w14:paraId="409F32DA" w14:textId="77777777" w:rsidR="00973EC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66EA5E5" w14:textId="77777777" w:rsidR="00973EC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73ECA" w14:paraId="2E173108" w14:textId="77777777">
        <w:trPr>
          <w:trHeight w:val="3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11E2949" w14:textId="77777777" w:rsidR="00973EC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Kari Hinrichsen </w:t>
            </w:r>
            <w:proofErr w:type="spellStart"/>
            <w:r>
              <w:rPr>
                <w:b/>
              </w:rPr>
              <w:t>Gjervold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D227609" w14:textId="77777777" w:rsidR="00973ECA" w:rsidRDefault="00000000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b/>
              </w:rPr>
              <w:t>Wemunn</w:t>
            </w:r>
            <w:proofErr w:type="spellEnd"/>
            <w:r>
              <w:rPr>
                <w:b/>
              </w:rPr>
              <w:t xml:space="preserve"> Aabø </w:t>
            </w:r>
          </w:p>
        </w:tc>
      </w:tr>
      <w:tr w:rsidR="00973ECA" w14:paraId="6DB20493" w14:textId="77777777">
        <w:trPr>
          <w:trHeight w:val="25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C0C55D" w14:textId="77777777" w:rsidR="00973ECA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>Seniorrådgiver</w:t>
            </w:r>
            <w: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060693C" w14:textId="77777777" w:rsidR="00973ECA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>Seniorrådgiver</w:t>
            </w:r>
            <w:r>
              <w:t xml:space="preserve"> </w:t>
            </w:r>
          </w:p>
        </w:tc>
      </w:tr>
    </w:tbl>
    <w:p w14:paraId="61667D2D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33DD1844" w14:textId="77777777" w:rsidR="00973ECA" w:rsidRDefault="00000000">
      <w:pPr>
        <w:spacing w:after="0" w:line="259" w:lineRule="auto"/>
        <w:ind w:left="0" w:firstLine="0"/>
      </w:pPr>
      <w:r>
        <w:rPr>
          <w:i/>
        </w:rPr>
        <w:t xml:space="preserve">Dokumentet er elektronisk godkjent uten signatur. </w:t>
      </w:r>
    </w:p>
    <w:p w14:paraId="43F8B847" w14:textId="77777777" w:rsidR="00973ECA" w:rsidRDefault="00000000">
      <w:pPr>
        <w:spacing w:after="13" w:line="259" w:lineRule="auto"/>
        <w:ind w:left="0" w:firstLine="0"/>
      </w:pPr>
      <w:r>
        <w:rPr>
          <w:i/>
          <w:sz w:val="18"/>
        </w:rPr>
        <w:t xml:space="preserve"> </w:t>
      </w:r>
    </w:p>
    <w:p w14:paraId="37C251E3" w14:textId="77777777" w:rsidR="00973ECA" w:rsidRDefault="00000000">
      <w:pPr>
        <w:spacing w:after="0" w:line="252" w:lineRule="auto"/>
        <w:ind w:left="0" w:right="9002" w:firstLine="0"/>
      </w:pPr>
      <w:r>
        <w:t xml:space="preserve"> </w:t>
      </w:r>
      <w:r>
        <w:rPr>
          <w:b/>
        </w:rPr>
        <w:t xml:space="preserve"> </w:t>
      </w:r>
    </w:p>
    <w:p w14:paraId="34CC3FFE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p w14:paraId="1ABFB48A" w14:textId="77777777" w:rsidR="00973ECA" w:rsidRDefault="00000000">
      <w:pPr>
        <w:spacing w:after="8440" w:line="259" w:lineRule="auto"/>
        <w:ind w:left="0" w:firstLine="0"/>
      </w:pPr>
      <w:r>
        <w:t xml:space="preserve"> </w:t>
      </w:r>
    </w:p>
    <w:p w14:paraId="477DCDA0" w14:textId="77777777" w:rsidR="00973ECA" w:rsidRDefault="00000000">
      <w:pPr>
        <w:spacing w:after="35" w:line="259" w:lineRule="auto"/>
        <w:ind w:right="-15"/>
        <w:jc w:val="right"/>
      </w:pPr>
      <w:r>
        <w:rPr>
          <w:sz w:val="16"/>
        </w:rPr>
        <w:t xml:space="preserve">3 </w:t>
      </w:r>
    </w:p>
    <w:p w14:paraId="40465582" w14:textId="77777777" w:rsidR="00973ECA" w:rsidRDefault="00000000">
      <w:pPr>
        <w:spacing w:after="0" w:line="259" w:lineRule="auto"/>
        <w:ind w:left="0" w:firstLine="0"/>
      </w:pPr>
      <w:r>
        <w:t xml:space="preserve"> </w:t>
      </w:r>
    </w:p>
    <w:sectPr w:rsidR="00973ECA">
      <w:type w:val="continuous"/>
      <w:pgSz w:w="11906" w:h="16838"/>
      <w:pgMar w:top="989" w:right="1417" w:bottom="57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CA"/>
    <w:rsid w:val="002660AF"/>
    <w:rsid w:val="00973ECA"/>
    <w:rsid w:val="00DA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38EC"/>
  <w15:docId w15:val="{AC1282BB-FD0C-4BDB-9AA8-AADDF3AD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4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10" w:line="259" w:lineRule="auto"/>
      <w:outlineLvl w:val="0"/>
    </w:pPr>
    <w:rPr>
      <w:rFonts w:ascii="Verdana" w:eastAsia="Verdana" w:hAnsi="Verdana" w:cs="Verdana"/>
      <w:b/>
      <w:color w:val="000000"/>
      <w:sz w:val="30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Verdana" w:eastAsia="Verdana" w:hAnsi="Verdana" w:cs="Verdana"/>
      <w:b/>
      <w:color w:val="000000"/>
      <w:sz w:val="20"/>
    </w:rPr>
  </w:style>
  <w:style w:type="character" w:customStyle="1" w:styleId="Overskrift1Tegn">
    <w:name w:val="Overskrift 1 Tegn"/>
    <w:link w:val="Overskrift1"/>
    <w:rPr>
      <w:rFonts w:ascii="Verdana" w:eastAsia="Verdana" w:hAnsi="Verdana" w:cs="Verdana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litiet.no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Alarmkrav for oppbevaring av våpen</dc:title>
  <dc:subject/>
  <dc:creator>Simone Giese</dc:creator>
  <cp:keywords/>
  <cp:lastModifiedBy>Geir</cp:lastModifiedBy>
  <cp:revision>2</cp:revision>
  <dcterms:created xsi:type="dcterms:W3CDTF">2026-01-22T19:16:00Z</dcterms:created>
  <dcterms:modified xsi:type="dcterms:W3CDTF">2026-01-22T19:16:00Z</dcterms:modified>
</cp:coreProperties>
</file>